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r w:rsidR="000B4576">
        <w:rPr>
          <w:i/>
          <w:color w:val="FF0000"/>
          <w:sz w:val="28"/>
        </w:rPr>
        <w:t>;</w:t>
      </w:r>
    </w:p>
    <w:p w:rsidR="000B4576" w:rsidRDefault="004A0243" w:rsidP="00334BA7">
      <w:pPr>
        <w:jc w:val="right"/>
        <w:rPr>
          <w:i/>
          <w:color w:val="0070C0"/>
          <w:sz w:val="28"/>
        </w:rPr>
      </w:pPr>
      <w:r>
        <w:rPr>
          <w:i/>
          <w:color w:val="0070C0"/>
          <w:sz w:val="28"/>
        </w:rPr>
        <w:t>Дополнительного соглашения № 2 от 10.04.2025</w:t>
      </w:r>
      <w:r w:rsidR="000B4576">
        <w:rPr>
          <w:i/>
          <w:color w:val="0070C0"/>
          <w:sz w:val="28"/>
        </w:rPr>
        <w:t>;</w:t>
      </w:r>
    </w:p>
    <w:p w:rsidR="00993AD1" w:rsidRDefault="000B4576" w:rsidP="00334BA7">
      <w:pPr>
        <w:jc w:val="right"/>
        <w:rPr>
          <w:i/>
          <w:color w:val="009900"/>
          <w:sz w:val="28"/>
        </w:rPr>
      </w:pPr>
      <w:r w:rsidRPr="000B4576">
        <w:rPr>
          <w:i/>
          <w:color w:val="009900"/>
          <w:sz w:val="28"/>
        </w:rPr>
        <w:t>Дополнительного соглашения № 3</w:t>
      </w:r>
      <w:r>
        <w:rPr>
          <w:i/>
          <w:color w:val="009900"/>
          <w:sz w:val="28"/>
        </w:rPr>
        <w:t xml:space="preserve"> от 23</w:t>
      </w:r>
      <w:r w:rsidRPr="000B4576">
        <w:rPr>
          <w:i/>
          <w:color w:val="009900"/>
          <w:sz w:val="28"/>
        </w:rPr>
        <w:t>.04.2025</w:t>
      </w:r>
      <w:r w:rsidR="00993AD1">
        <w:rPr>
          <w:i/>
          <w:color w:val="009900"/>
          <w:sz w:val="28"/>
        </w:rPr>
        <w:t>;</w:t>
      </w:r>
    </w:p>
    <w:p w:rsidR="00F32B81" w:rsidRDefault="00993AD1" w:rsidP="00334BA7">
      <w:pPr>
        <w:jc w:val="right"/>
        <w:rPr>
          <w:i/>
          <w:color w:val="7030A0"/>
          <w:sz w:val="28"/>
        </w:rPr>
      </w:pPr>
      <w:r>
        <w:rPr>
          <w:i/>
          <w:color w:val="7030A0"/>
          <w:sz w:val="28"/>
        </w:rPr>
        <w:t>Дополнительного соглашения № 4 от 13.05.2025</w:t>
      </w:r>
      <w:r w:rsidR="00F32B81">
        <w:rPr>
          <w:i/>
          <w:color w:val="7030A0"/>
          <w:sz w:val="28"/>
        </w:rPr>
        <w:t>;</w:t>
      </w:r>
    </w:p>
    <w:p w:rsidR="00946448" w:rsidRDefault="00F32B81" w:rsidP="00334BA7">
      <w:pPr>
        <w:jc w:val="right"/>
        <w:rPr>
          <w:i/>
          <w:color w:val="943634" w:themeColor="accent2" w:themeShade="BF"/>
          <w:sz w:val="28"/>
        </w:rPr>
      </w:pPr>
      <w:r>
        <w:rPr>
          <w:i/>
          <w:color w:val="943634" w:themeColor="accent2" w:themeShade="BF"/>
          <w:sz w:val="28"/>
        </w:rPr>
        <w:t>Дополнительного соглашения № 5 от 22.07.2025</w:t>
      </w:r>
      <w:r w:rsidR="00946448">
        <w:rPr>
          <w:i/>
          <w:color w:val="943634" w:themeColor="accent2" w:themeShade="BF"/>
          <w:sz w:val="28"/>
        </w:rPr>
        <w:t>;</w:t>
      </w:r>
    </w:p>
    <w:p w:rsidR="00060F71" w:rsidRDefault="00946448" w:rsidP="00334BA7">
      <w:pPr>
        <w:jc w:val="right"/>
        <w:rPr>
          <w:sz w:val="28"/>
        </w:rPr>
      </w:pPr>
      <w:proofErr w:type="gramStart"/>
      <w:r>
        <w:rPr>
          <w:i/>
          <w:color w:val="E36C0A" w:themeColor="accent6" w:themeShade="BF"/>
          <w:sz w:val="28"/>
        </w:rPr>
        <w:t>Дополнительного соглашения № 6 от 07.08.2025</w:t>
      </w:r>
      <w:r w:rsidR="00334BA7" w:rsidRPr="00EF282C">
        <w:rPr>
          <w:sz w:val="28"/>
        </w:rPr>
        <w:t>)</w:t>
      </w:r>
      <w:proofErr w:type="gramEnd"/>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proofErr w:type="gramStart"/>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roofErr w:type="gramEnd"/>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w:t>
      </w:r>
      <w:proofErr w:type="gramStart"/>
      <w:r w:rsidRPr="00DD685C">
        <w:rPr>
          <w:sz w:val="28"/>
          <w:szCs w:val="28"/>
        </w:rPr>
        <w:t>председателя Еврейской областной организации профсоюза работников здравоохранения</w:t>
      </w:r>
      <w:proofErr w:type="gramEnd"/>
      <w:r w:rsidRPr="00DD685C">
        <w:rPr>
          <w:sz w:val="28"/>
          <w:szCs w:val="28"/>
        </w:rPr>
        <w:t xml:space="preserve">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w:t>
      </w:r>
      <w:r w:rsidR="004C49C2" w:rsidRPr="00DD685C">
        <w:rPr>
          <w:color w:val="000000" w:themeColor="text1"/>
          <w:sz w:val="28"/>
          <w:szCs w:val="28"/>
        </w:rPr>
        <w:lastRenderedPageBreak/>
        <w:t>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lastRenderedPageBreak/>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w:t>
      </w:r>
      <w:r w:rsidRPr="00DD685C">
        <w:rPr>
          <w:rFonts w:ascii="Times New Roman" w:hAnsi="Times New Roman" w:cs="Times New Roman"/>
          <w:sz w:val="28"/>
          <w:szCs w:val="28"/>
        </w:rPr>
        <w:lastRenderedPageBreak/>
        <w:t xml:space="preserve">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w:t>
      </w:r>
      <w:r w:rsidR="0030618A" w:rsidRPr="00DD685C">
        <w:rPr>
          <w:rFonts w:ascii="Times New Roman" w:hAnsi="Times New Roman" w:cs="Times New Roman"/>
          <w:sz w:val="28"/>
          <w:szCs w:val="28"/>
        </w:rPr>
        <w:lastRenderedPageBreak/>
        <w:t>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а также за исключением случаев, когда в 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6879B2" w:rsidRPr="00DD685C" w:rsidRDefault="006879B2" w:rsidP="006879B2">
      <w:pPr>
        <w:pStyle w:val="ConsPlusNormal"/>
        <w:ind w:firstLine="709"/>
        <w:jc w:val="both"/>
        <w:rPr>
          <w:rFonts w:ascii="Times New Roman" w:hAnsi="Times New Roman" w:cs="Times New Roman"/>
          <w:sz w:val="28"/>
          <w:szCs w:val="28"/>
        </w:rPr>
      </w:pP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lastRenderedPageBreak/>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w:t>
      </w:r>
      <w:r w:rsidR="00A627DA" w:rsidRPr="00DD685C">
        <w:rPr>
          <w:rFonts w:ascii="Times New Roman" w:hAnsi="Times New Roman" w:cs="Times New Roman"/>
          <w:sz w:val="28"/>
          <w:szCs w:val="28"/>
        </w:rPr>
        <w:lastRenderedPageBreak/>
        <w:t xml:space="preserve">«Травматология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w:t>
      </w:r>
      <w:proofErr w:type="gramStart"/>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A627DA" w:rsidRPr="00DD685C">
        <w:rPr>
          <w:rFonts w:ascii="Times New Roman" w:hAnsi="Times New Roman" w:cs="Times New Roman"/>
          <w:sz w:val="28"/>
          <w:szCs w:val="28"/>
        </w:rPr>
        <w:t>«Хирургия», «Эндокринология»,</w:t>
      </w:r>
      <w:r w:rsidR="008A5605"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r w:rsidR="00EE482F" w:rsidRPr="00DD685C">
        <w:rPr>
          <w:rFonts w:ascii="Times New Roman" w:hAnsi="Times New Roman" w:cs="Times New Roman"/>
          <w:sz w:val="28"/>
          <w:szCs w:val="28"/>
        </w:rPr>
        <w:t>.</w:t>
      </w:r>
      <w:proofErr w:type="gramEnd"/>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w:t>
      </w:r>
      <w:r w:rsidRPr="00334BA7">
        <w:rPr>
          <w:i/>
          <w:color w:val="00CC66"/>
          <w:sz w:val="28"/>
          <w:szCs w:val="28"/>
        </w:rPr>
        <w:t>я</w:t>
      </w:r>
      <w:proofErr w:type="gramStart"/>
      <w:r w:rsidRPr="00334BA7">
        <w:rPr>
          <w:i/>
          <w:color w:val="00CC66"/>
          <w:sz w:val="28"/>
          <w:szCs w:val="28"/>
        </w:rPr>
        <w:t>.</w:t>
      </w:r>
      <w:proofErr w:type="gramEnd"/>
      <w:r w:rsidRPr="00334BA7">
        <w:rPr>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xml:space="preserve">, включая диспансерное наблюдение </w:t>
      </w:r>
      <w:r w:rsidR="00645700" w:rsidRPr="00DD685C">
        <w:rPr>
          <w:rFonts w:ascii="Times New Roman" w:hAnsi="Times New Roman" w:cs="Times New Roman"/>
          <w:sz w:val="28"/>
          <w:szCs w:val="28"/>
        </w:rPr>
        <w:lastRenderedPageBreak/>
        <w:t>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0" w:name="_Hlk152237148"/>
      <w:r w:rsidR="00902B6A" w:rsidRPr="00DD685C">
        <w:rPr>
          <w:rFonts w:ascii="Times New Roman" w:hAnsi="Times New Roman"/>
          <w:color w:val="000000" w:themeColor="text1"/>
          <w:sz w:val="28"/>
        </w:rPr>
        <w:t>здравпункт</w:t>
      </w:r>
      <w:bookmarkEnd w:id="0"/>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lastRenderedPageBreak/>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4B2A5B" w:rsidRPr="00DD685C">
        <w:rPr>
          <w:color w:val="000000" w:themeColor="text1"/>
          <w:sz w:val="28"/>
          <w:szCs w:val="28"/>
        </w:rPr>
        <w:t>11 695,57</w:t>
      </w:r>
      <w:r w:rsidR="00836428" w:rsidRPr="00DD685C">
        <w:rPr>
          <w:color w:val="000000" w:themeColor="text1"/>
          <w:sz w:val="28"/>
          <w:szCs w:val="28"/>
        </w:rPr>
        <w:t xml:space="preserve"> рублей</w:t>
      </w:r>
      <w:r w:rsidR="00836428" w:rsidRPr="00DD685C">
        <w:rPr>
          <w:sz w:val="28"/>
          <w:szCs w:val="28"/>
        </w:rPr>
        <w:t>;</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6C1AE9">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6C1AE9">
        <w:rPr>
          <w:rFonts w:ascii="Times New Roman" w:hAnsi="Times New Roman" w:cs="Times New Roman"/>
          <w:color w:val="000000" w:themeColor="text1"/>
          <w:sz w:val="28"/>
          <w:szCs w:val="28"/>
        </w:rPr>
        <w:t>378,38</w:t>
      </w:r>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w:t>
      </w:r>
      <w:r w:rsidRPr="00DD685C">
        <w:rPr>
          <w:sz w:val="28"/>
        </w:rPr>
        <w:lastRenderedPageBreak/>
        <w:t xml:space="preserve">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w:t>
      </w:r>
      <w:r w:rsidR="00B85518" w:rsidRPr="00DD685C">
        <w:rPr>
          <w:rFonts w:ascii="Times New Roman" w:hAnsi="Times New Roman" w:cs="Times New Roman"/>
          <w:sz w:val="28"/>
          <w:szCs w:val="28"/>
        </w:rPr>
        <w:lastRenderedPageBreak/>
        <w:t>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2B3073" w:rsidRPr="00DD685C">
        <w:rPr>
          <w:color w:val="000000" w:themeColor="text1"/>
          <w:sz w:val="28"/>
          <w:szCs w:val="28"/>
        </w:rPr>
        <w:t>10 998,26</w:t>
      </w:r>
      <w:r w:rsidR="00B9345E" w:rsidRPr="00DD685C">
        <w:rPr>
          <w:color w:val="000000" w:themeColor="text1"/>
          <w:sz w:val="28"/>
          <w:szCs w:val="28"/>
        </w:rPr>
        <w:t xml:space="preserve"> </w:t>
      </w:r>
      <w:r w:rsidR="00B9345E" w:rsidRPr="00DD685C">
        <w:rPr>
          <w:sz w:val="28"/>
          <w:szCs w:val="28"/>
        </w:rPr>
        <w:t>рубл</w:t>
      </w:r>
      <w:r w:rsidR="002B3073" w:rsidRPr="00DD685C">
        <w:rPr>
          <w:sz w:val="28"/>
          <w:szCs w:val="28"/>
        </w:rPr>
        <w:t>ей</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w:t>
      </w:r>
      <w:r w:rsidR="005B75CA" w:rsidRPr="00DD685C">
        <w:rPr>
          <w:sz w:val="28"/>
          <w:szCs w:val="28"/>
        </w:rPr>
        <w:lastRenderedPageBreak/>
        <w:t xml:space="preserve">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1B5C2A" w:rsidRPr="000B4576">
        <w:rPr>
          <w:rFonts w:ascii="Times New Roman" w:hAnsi="Times New Roman" w:cs="Times New Roman"/>
          <w:color w:val="00B050"/>
          <w:sz w:val="28"/>
        </w:rPr>
        <w:t>50 22</w:t>
      </w:r>
      <w:r w:rsidR="000B4576" w:rsidRPr="000B4576">
        <w:rPr>
          <w:rFonts w:ascii="Times New Roman" w:hAnsi="Times New Roman" w:cs="Times New Roman"/>
          <w:color w:val="00B050"/>
          <w:sz w:val="28"/>
        </w:rPr>
        <w:t>9</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7</w:t>
      </w:r>
      <w:r w:rsidR="001B5C2A" w:rsidRPr="000B4576">
        <w:rPr>
          <w:rFonts w:ascii="Times New Roman" w:hAnsi="Times New Roman" w:cs="Times New Roman"/>
          <w:color w:val="00B050"/>
          <w:sz w:val="28"/>
        </w:rPr>
        <w:t>4</w:t>
      </w:r>
      <w:r w:rsidR="00BB73FE" w:rsidRPr="000B4576">
        <w:rPr>
          <w:rFonts w:ascii="Times New Roman" w:hAnsi="Times New Roman" w:cs="Times New Roman"/>
          <w:color w:val="00B050"/>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0B4576" w:rsidRPr="000B4576">
        <w:rPr>
          <w:rFonts w:ascii="Times New Roman" w:hAnsi="Times New Roman" w:cs="Times New Roman"/>
          <w:color w:val="00B050"/>
          <w:sz w:val="28"/>
        </w:rPr>
        <w:t>33 576</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03</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я</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r w:rsidR="000B4576" w:rsidRPr="000B4576">
        <w:rPr>
          <w:rFonts w:ascii="Times New Roman" w:hAnsi="Times New Roman" w:cs="Times New Roman"/>
          <w:i/>
          <w:color w:val="000000" w:themeColor="text1"/>
          <w:sz w:val="28"/>
          <w:szCs w:val="28"/>
        </w:rPr>
        <w:t xml:space="preserve">(в ред. Дополнительного соглашения № </w:t>
      </w:r>
      <w:r w:rsidR="000B4576">
        <w:rPr>
          <w:rFonts w:ascii="Times New Roman" w:hAnsi="Times New Roman" w:cs="Times New Roman"/>
          <w:i/>
          <w:color w:val="000000" w:themeColor="text1"/>
          <w:sz w:val="28"/>
          <w:szCs w:val="28"/>
        </w:rPr>
        <w:t>3 от 23</w:t>
      </w:r>
      <w:r w:rsidR="000B4576" w:rsidRPr="000B4576">
        <w:rPr>
          <w:rFonts w:ascii="Times New Roman" w:hAnsi="Times New Roman" w:cs="Times New Roman"/>
          <w:i/>
          <w:color w:val="000000" w:themeColor="text1"/>
          <w:sz w:val="28"/>
          <w:szCs w:val="28"/>
        </w:rPr>
        <w:t>.0</w:t>
      </w:r>
      <w:r w:rsidR="000B4576">
        <w:rPr>
          <w:rFonts w:ascii="Times New Roman" w:hAnsi="Times New Roman" w:cs="Times New Roman"/>
          <w:i/>
          <w:color w:val="000000" w:themeColor="text1"/>
          <w:sz w:val="28"/>
          <w:szCs w:val="28"/>
        </w:rPr>
        <w:t>4</w:t>
      </w:r>
      <w:r w:rsidR="000B4576" w:rsidRPr="000B4576">
        <w:rPr>
          <w:rFonts w:ascii="Times New Roman" w:hAnsi="Times New Roman" w:cs="Times New Roman"/>
          <w:i/>
          <w:color w:val="000000" w:themeColor="text1"/>
          <w:sz w:val="28"/>
          <w:szCs w:val="28"/>
        </w:rPr>
        <w:t>.2025)</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lastRenderedPageBreak/>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B75906" w:rsidRPr="00DD685C">
        <w:rPr>
          <w:color w:val="000000" w:themeColor="text1"/>
          <w:sz w:val="28"/>
          <w:szCs w:val="28"/>
        </w:rPr>
        <w:t>2 651,96</w:t>
      </w:r>
      <w:r w:rsidR="009C66CC" w:rsidRPr="00DD685C">
        <w:rPr>
          <w:color w:val="000000" w:themeColor="text1"/>
          <w:sz w:val="28"/>
          <w:szCs w:val="28"/>
        </w:rPr>
        <w:t xml:space="preserve"> рубл</w:t>
      </w:r>
      <w:r w:rsidR="00B75906" w:rsidRPr="00DD685C">
        <w:rPr>
          <w:color w:val="000000" w:themeColor="text1"/>
          <w:sz w:val="28"/>
          <w:szCs w:val="28"/>
        </w:rPr>
        <w:t>ь</w:t>
      </w:r>
      <w:r w:rsidR="009C66CC" w:rsidRPr="00DD685C">
        <w:rPr>
          <w:sz w:val="28"/>
          <w:szCs w:val="28"/>
        </w:rPr>
        <w:t>;</w:t>
      </w:r>
      <w:r w:rsidR="00E06756" w:rsidRPr="00DD685C">
        <w:rPr>
          <w:sz w:val="28"/>
          <w:szCs w:val="28"/>
        </w:rPr>
        <w:t xml:space="preserve"> </w:t>
      </w:r>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993AD1">
        <w:rPr>
          <w:color w:val="7030A0"/>
          <w:sz w:val="28"/>
        </w:rPr>
        <w:t>28 275,42</w:t>
      </w:r>
      <w:r w:rsidRPr="00993AD1">
        <w:rPr>
          <w:color w:val="7030A0"/>
          <w:sz w:val="28"/>
        </w:rPr>
        <w:t xml:space="preserve"> </w:t>
      </w:r>
      <w:r w:rsidRPr="00DD685C">
        <w:rPr>
          <w:sz w:val="28"/>
        </w:rPr>
        <w:t>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993AD1" w:rsidRPr="00993AD1">
        <w:rPr>
          <w:color w:val="7030A0"/>
          <w:sz w:val="28"/>
        </w:rPr>
        <w:t>18 900,68</w:t>
      </w:r>
      <w:r w:rsidRPr="00993AD1">
        <w:rPr>
          <w:color w:val="7030A0"/>
          <w:sz w:val="28"/>
        </w:rPr>
        <w:t xml:space="preserve"> </w:t>
      </w:r>
      <w:r w:rsidRPr="00DD685C">
        <w:rPr>
          <w:sz w:val="28"/>
        </w:rPr>
        <w:t xml:space="preserve">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r w:rsidR="00F10731" w:rsidRPr="000B4576">
        <w:rPr>
          <w:i/>
          <w:color w:val="000000" w:themeColor="text1"/>
          <w:sz w:val="28"/>
          <w:szCs w:val="28"/>
        </w:rPr>
        <w:t xml:space="preserve">(в ред. Дополнительного соглашения № </w:t>
      </w:r>
      <w:r w:rsidR="00993AD1">
        <w:rPr>
          <w:i/>
          <w:color w:val="000000" w:themeColor="text1"/>
          <w:sz w:val="28"/>
          <w:szCs w:val="28"/>
        </w:rPr>
        <w:t>4</w:t>
      </w:r>
      <w:r w:rsidR="00F10731">
        <w:rPr>
          <w:i/>
          <w:color w:val="000000" w:themeColor="text1"/>
          <w:sz w:val="28"/>
          <w:szCs w:val="28"/>
        </w:rPr>
        <w:t xml:space="preserve"> от </w:t>
      </w:r>
      <w:r w:rsidR="00993AD1">
        <w:rPr>
          <w:i/>
          <w:color w:val="000000" w:themeColor="text1"/>
          <w:sz w:val="28"/>
          <w:szCs w:val="28"/>
        </w:rPr>
        <w:t>1</w:t>
      </w:r>
      <w:r w:rsidR="00F10731">
        <w:rPr>
          <w:i/>
          <w:color w:val="000000" w:themeColor="text1"/>
          <w:sz w:val="28"/>
          <w:szCs w:val="28"/>
        </w:rPr>
        <w:t>3</w:t>
      </w:r>
      <w:r w:rsidR="00F10731" w:rsidRPr="000B4576">
        <w:rPr>
          <w:i/>
          <w:color w:val="000000" w:themeColor="text1"/>
          <w:sz w:val="28"/>
          <w:szCs w:val="28"/>
        </w:rPr>
        <w:t>.0</w:t>
      </w:r>
      <w:r w:rsidR="00993AD1">
        <w:rPr>
          <w:i/>
          <w:color w:val="000000" w:themeColor="text1"/>
          <w:sz w:val="28"/>
          <w:szCs w:val="28"/>
        </w:rPr>
        <w:t>5</w:t>
      </w:r>
      <w:r w:rsidR="00F10731" w:rsidRPr="000B4576">
        <w:rPr>
          <w:i/>
          <w:color w:val="000000" w:themeColor="text1"/>
          <w:sz w:val="28"/>
          <w:szCs w:val="28"/>
        </w:rPr>
        <w:t>.2025)</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B75906" w:rsidRPr="00DD685C">
        <w:rPr>
          <w:color w:val="000000" w:themeColor="text1"/>
          <w:sz w:val="28"/>
          <w:szCs w:val="28"/>
        </w:rPr>
        <w:t>1 994,16</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lastRenderedPageBreak/>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в амбулаторных 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lastRenderedPageBreak/>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w:t>
      </w:r>
      <w:r w:rsidR="00620534" w:rsidRPr="00DD685C">
        <w:rPr>
          <w:rFonts w:eastAsiaTheme="minorHAnsi"/>
          <w:sz w:val="28"/>
          <w:szCs w:val="28"/>
          <w:lang w:eastAsia="en-US"/>
        </w:rPr>
        <w:lastRenderedPageBreak/>
        <w:t>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w:t>
      </w:r>
      <w:r w:rsidR="00386EF9" w:rsidRPr="00DD685C">
        <w:rPr>
          <w:rFonts w:eastAsiaTheme="minorHAnsi"/>
          <w:sz w:val="28"/>
          <w:szCs w:val="28"/>
          <w:lang w:eastAsia="en-US"/>
        </w:rPr>
        <w:lastRenderedPageBreak/>
        <w:t xml:space="preserve">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w:t>
      </w:r>
      <w:r w:rsidR="00BA45D0" w:rsidRPr="00DD685C">
        <w:rPr>
          <w:bCs/>
          <w:color w:val="000000"/>
          <w:sz w:val="28"/>
          <w:szCs w:val="28"/>
        </w:rPr>
        <w:lastRenderedPageBreak/>
        <w:t xml:space="preserve">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w:t>
      </w:r>
      <w:proofErr w:type="gramStart"/>
      <w:r w:rsidRPr="00DD685C">
        <w:rPr>
          <w:sz w:val="28"/>
          <w:szCs w:val="28"/>
        </w:rPr>
        <w:t>расчета значений показателей результативности деятельности медицинских организаций</w:t>
      </w:r>
      <w:proofErr w:type="gramEnd"/>
      <w:r w:rsidRPr="00DD685C">
        <w:rPr>
          <w:sz w:val="28"/>
          <w:szCs w:val="28"/>
        </w:rPr>
        <w:t>»;</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«Тарифы на 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 xml:space="preserve">фельдшерско-акушерских пунктов (ФАП) с указанием диапазона </w:t>
      </w:r>
      <w:r w:rsidRPr="00DD685C">
        <w:rPr>
          <w:bCs/>
          <w:color w:val="000000"/>
        </w:rPr>
        <w:lastRenderedPageBreak/>
        <w:t>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r>
      <w:r w:rsidRPr="00DD685C">
        <w:lastRenderedPageBreak/>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lastRenderedPageBreak/>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proofErr w:type="gramStart"/>
      <w:r w:rsidRPr="00DD685C">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w:t>
      </w:r>
      <w:r w:rsidR="00DA2635" w:rsidRPr="00DD685C">
        <w:lastRenderedPageBreak/>
        <w:t>(или)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lastRenderedPageBreak/>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E07857" w:rsidRPr="00DD685C" w:rsidRDefault="007C15E1" w:rsidP="0033041F">
      <w:pPr>
        <w:pStyle w:val="a3"/>
        <w:numPr>
          <w:ilvl w:val="0"/>
          <w:numId w:val="25"/>
        </w:numPr>
        <w:ind w:left="0" w:firstLine="709"/>
        <w:rPr>
          <w:color w:val="000000" w:themeColor="text1"/>
        </w:rPr>
      </w:pPr>
      <w:r w:rsidRPr="00DD685C">
        <w:rPr>
          <w:color w:val="000000" w:themeColor="text1"/>
        </w:rPr>
        <w:lastRenderedPageBreak/>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Default="009B78CE" w:rsidP="00C41318">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4</w:t>
      </w:r>
      <w:r w:rsidRPr="00DD685C">
        <w:rPr>
          <w:color w:val="000000" w:themeColor="text1"/>
        </w:rPr>
        <w:t xml:space="preserve"> </w:t>
      </w:r>
      <w:r w:rsidR="00C41318" w:rsidRPr="00DD685C">
        <w:rPr>
          <w:color w:val="000000" w:themeColor="text1"/>
        </w:rPr>
        <w:t xml:space="preserve">Таблица 1 </w:t>
      </w:r>
      <w:r w:rsidRPr="00DD685C">
        <w:rPr>
          <w:color w:val="000000" w:themeColor="text1"/>
        </w:rPr>
        <w:t xml:space="preserve">«Тарифы на ультразвуковые исследования беременных для проведения </w:t>
      </w:r>
      <w:proofErr w:type="spellStart"/>
      <w:r w:rsidRPr="00DD685C">
        <w:rPr>
          <w:color w:val="000000" w:themeColor="text1"/>
        </w:rPr>
        <w:t>межучреж</w:t>
      </w:r>
      <w:r w:rsidR="009B67A5" w:rsidRPr="00DD685C">
        <w:rPr>
          <w:color w:val="000000" w:themeColor="text1"/>
        </w:rPr>
        <w:t>денческих</w:t>
      </w:r>
      <w:proofErr w:type="spellEnd"/>
      <w:r w:rsidR="009B67A5" w:rsidRPr="00DD685C">
        <w:rPr>
          <w:color w:val="000000" w:themeColor="text1"/>
        </w:rPr>
        <w:t xml:space="preserve"> </w:t>
      </w:r>
      <w:r w:rsidR="00C41318" w:rsidRPr="00DD685C">
        <w:rPr>
          <w:color w:val="000000" w:themeColor="text1"/>
        </w:rPr>
        <w:t xml:space="preserve">и межтерриториальных </w:t>
      </w:r>
      <w:r w:rsidR="009B67A5" w:rsidRPr="00DD685C">
        <w:rPr>
          <w:color w:val="000000" w:themeColor="text1"/>
        </w:rPr>
        <w:t>расчетов на 202</w:t>
      </w:r>
      <w:r w:rsidR="00DD685C" w:rsidRPr="00DD685C">
        <w:rPr>
          <w:color w:val="000000" w:themeColor="text1"/>
        </w:rPr>
        <w:t>5</w:t>
      </w:r>
      <w:r w:rsidR="009B67A5" w:rsidRPr="00DD685C">
        <w:rPr>
          <w:color w:val="000000" w:themeColor="text1"/>
        </w:rPr>
        <w:t xml:space="preserve"> год»;</w:t>
      </w:r>
      <w:r w:rsidR="00C41318" w:rsidRPr="00DD685C">
        <w:rPr>
          <w:color w:val="000000" w:themeColor="text1"/>
        </w:rPr>
        <w:t xml:space="preserve"> Таблица 2 «Тарифы на исследование уровня </w:t>
      </w:r>
      <w:proofErr w:type="spellStart"/>
      <w:r w:rsidR="00C41318" w:rsidRPr="00DD685C">
        <w:rPr>
          <w:color w:val="000000" w:themeColor="text1"/>
        </w:rPr>
        <w:t>связанногго</w:t>
      </w:r>
      <w:proofErr w:type="spellEnd"/>
      <w:r w:rsidR="00C41318" w:rsidRPr="00DD685C">
        <w:rPr>
          <w:color w:val="000000" w:themeColor="text1"/>
        </w:rPr>
        <w:t xml:space="preserve"> с беременностью плазменного протеина</w:t>
      </w:r>
      <w:proofErr w:type="gramStart"/>
      <w:r w:rsidR="001B2B44">
        <w:rPr>
          <w:color w:val="000000" w:themeColor="text1"/>
        </w:rPr>
        <w:br/>
      </w:r>
      <w:r w:rsidR="00C41318" w:rsidRPr="00DD685C">
        <w:rPr>
          <w:color w:val="000000" w:themeColor="text1"/>
        </w:rPr>
        <w:t>А</w:t>
      </w:r>
      <w:proofErr w:type="gramEnd"/>
      <w:r w:rsidR="00C41318" w:rsidRPr="00DD685C">
        <w:rPr>
          <w:color w:val="000000" w:themeColor="text1"/>
        </w:rPr>
        <w:t xml:space="preserve"> (РАРР-А) в сыворотке крови и исследование уровня хорионического гонадотропина (свободного бета-субъединица) в сы</w:t>
      </w:r>
      <w:r w:rsidR="001B2B44">
        <w:rPr>
          <w:color w:val="000000" w:themeColor="text1"/>
        </w:rPr>
        <w:t>в</w:t>
      </w:r>
      <w:r w:rsidR="00C41318" w:rsidRPr="00DD685C">
        <w:rPr>
          <w:color w:val="000000" w:themeColor="text1"/>
        </w:rPr>
        <w:t xml:space="preserve">оротке крови для проведения </w:t>
      </w:r>
      <w:proofErr w:type="spellStart"/>
      <w:r w:rsidR="00C41318" w:rsidRPr="00DD685C">
        <w:rPr>
          <w:color w:val="000000" w:themeColor="text1"/>
        </w:rPr>
        <w:t>межучрежденческих</w:t>
      </w:r>
      <w:proofErr w:type="spellEnd"/>
      <w:r w:rsidR="00C41318" w:rsidRPr="00DD685C">
        <w:rPr>
          <w:color w:val="000000" w:themeColor="text1"/>
        </w:rPr>
        <w:t xml:space="preserve"> и межтерриториальных расчетов на 202</w:t>
      </w:r>
      <w:r w:rsidR="00DD685C" w:rsidRPr="00DD685C">
        <w:rPr>
          <w:color w:val="000000" w:themeColor="text1"/>
        </w:rPr>
        <w:t>5</w:t>
      </w:r>
      <w:r w:rsidR="00C41318" w:rsidRPr="00DD685C">
        <w:rPr>
          <w:color w:val="000000" w:themeColor="text1"/>
        </w:rPr>
        <w:t xml:space="preserve"> год</w:t>
      </w:r>
      <w:r w:rsidR="004A0243">
        <w:rPr>
          <w:color w:val="000000" w:themeColor="text1"/>
        </w:rPr>
        <w:t>»;</w:t>
      </w:r>
    </w:p>
    <w:p w:rsidR="004A0243" w:rsidRPr="00946448" w:rsidRDefault="004A0243" w:rsidP="004A0243">
      <w:pPr>
        <w:pStyle w:val="a3"/>
        <w:numPr>
          <w:ilvl w:val="0"/>
          <w:numId w:val="25"/>
        </w:numPr>
        <w:ind w:left="0" w:firstLine="709"/>
        <w:rPr>
          <w:color w:val="000000" w:themeColor="text1"/>
        </w:rPr>
      </w:pPr>
      <w:proofErr w:type="gramStart"/>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w:t>
      </w:r>
      <w:proofErr w:type="spellStart"/>
      <w:r w:rsidRPr="004A0243">
        <w:rPr>
          <w:i/>
          <w:color w:val="0070C0"/>
        </w:rPr>
        <w:t>КД</w:t>
      </w:r>
      <w:r w:rsidRPr="004A0243">
        <w:rPr>
          <w:i/>
          <w:color w:val="0070C0"/>
          <w:vertAlign w:val="subscript"/>
        </w:rPr>
        <w:t>зп</w:t>
      </w:r>
      <w:proofErr w:type="spellEnd"/>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w:t>
      </w:r>
      <w:proofErr w:type="gramEnd"/>
      <w:r w:rsidRPr="004A0243">
        <w:rPr>
          <w:i/>
          <w:color w:val="0070C0"/>
        </w:rPr>
        <w:t xml:space="preserve"> </w:t>
      </w:r>
      <w:proofErr w:type="gramStart"/>
      <w:r w:rsidRPr="004A0243">
        <w:rPr>
          <w:i/>
          <w:color w:val="0070C0"/>
        </w:rPr>
        <w:t>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w:t>
      </w:r>
      <w:proofErr w:type="gramEnd"/>
      <w:r w:rsidRPr="004A0243">
        <w:rPr>
          <w:i/>
          <w:color w:val="0070C0"/>
        </w:rPr>
        <w:t xml:space="preserve">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946448" w:rsidRPr="00946448" w:rsidRDefault="00946448" w:rsidP="004A0243">
      <w:pPr>
        <w:pStyle w:val="a3"/>
        <w:numPr>
          <w:ilvl w:val="0"/>
          <w:numId w:val="25"/>
        </w:numPr>
        <w:ind w:left="0" w:firstLine="709"/>
        <w:rPr>
          <w:i/>
          <w:color w:val="E36C0A" w:themeColor="accent6" w:themeShade="BF"/>
        </w:rPr>
      </w:pPr>
      <w:r w:rsidRPr="00946448">
        <w:rPr>
          <w:i/>
          <w:color w:val="E36C0A" w:themeColor="accent6" w:themeShade="BF"/>
        </w:rPr>
        <w:t>приложение № 56 Таблица 1 «Тарифы на прием (осмотр, консультацию) к врачам-специалистам, работающим в областном эндокринологическом центре на базе ОГБУЗ «</w:t>
      </w:r>
      <w:proofErr w:type="spellStart"/>
      <w:r w:rsidRPr="00946448">
        <w:rPr>
          <w:i/>
          <w:color w:val="E36C0A" w:themeColor="accent6" w:themeShade="BF"/>
        </w:rPr>
        <w:t>Валдгеймская</w:t>
      </w:r>
      <w:proofErr w:type="spellEnd"/>
      <w:r w:rsidRPr="00946448">
        <w:rPr>
          <w:i/>
          <w:color w:val="E36C0A" w:themeColor="accent6" w:themeShade="BF"/>
        </w:rPr>
        <w:t xml:space="preserve"> ЦРБ» на 2025 год», таблица 2 «Тарифы на медицинские услуги и лабораторные исследования, проводимые в областном эндокринологическом центре на базе ОГБУЗ </w:t>
      </w:r>
      <w:r w:rsidRPr="00946448">
        <w:rPr>
          <w:i/>
          <w:color w:val="E36C0A" w:themeColor="accent6" w:themeShade="BF"/>
        </w:rPr>
        <w:t>«</w:t>
      </w:r>
      <w:proofErr w:type="spellStart"/>
      <w:r w:rsidRPr="00946448">
        <w:rPr>
          <w:i/>
          <w:color w:val="E36C0A" w:themeColor="accent6" w:themeShade="BF"/>
        </w:rPr>
        <w:t>Валдгеймская</w:t>
      </w:r>
      <w:proofErr w:type="spellEnd"/>
      <w:r w:rsidRPr="00946448">
        <w:rPr>
          <w:i/>
          <w:color w:val="E36C0A" w:themeColor="accent6" w:themeShade="BF"/>
        </w:rPr>
        <w:t xml:space="preserve"> ЦРБ» на 2025 год»</w:t>
      </w:r>
      <w:proofErr w:type="gramStart"/>
      <w:r w:rsidRPr="00946448">
        <w:rPr>
          <w:i/>
          <w:color w:val="E36C0A" w:themeColor="accent6" w:themeShade="BF"/>
        </w:rPr>
        <w:t>.</w:t>
      </w:r>
      <w:proofErr w:type="gramEnd"/>
      <w:r w:rsidRPr="00946448">
        <w:rPr>
          <w:i/>
          <w:color w:val="E36C0A" w:themeColor="accent6" w:themeShade="BF"/>
        </w:rPr>
        <w:t xml:space="preserve"> </w:t>
      </w:r>
      <w:r w:rsidRPr="00946448">
        <w:t>(</w:t>
      </w:r>
      <w:proofErr w:type="gramStart"/>
      <w:r w:rsidRPr="00946448">
        <w:t>в</w:t>
      </w:r>
      <w:proofErr w:type="gramEnd"/>
      <w:r w:rsidRPr="00946448">
        <w:t xml:space="preserve"> ред.</w:t>
      </w:r>
      <w:r w:rsidRPr="00946448">
        <w:rPr>
          <w:i/>
          <w:color w:val="E36C0A" w:themeColor="accent6" w:themeShade="BF"/>
        </w:rPr>
        <w:t xml:space="preserve"> Дополнительного соглашения № </w:t>
      </w:r>
      <w:r>
        <w:rPr>
          <w:i/>
          <w:color w:val="E36C0A" w:themeColor="accent6" w:themeShade="BF"/>
        </w:rPr>
        <w:t>6</w:t>
      </w:r>
      <w:r w:rsidRPr="00946448">
        <w:rPr>
          <w:i/>
          <w:color w:val="E36C0A" w:themeColor="accent6" w:themeShade="BF"/>
        </w:rPr>
        <w:t xml:space="preserve"> от </w:t>
      </w:r>
      <w:r>
        <w:rPr>
          <w:i/>
          <w:color w:val="E36C0A" w:themeColor="accent6" w:themeShade="BF"/>
        </w:rPr>
        <w:t>07</w:t>
      </w:r>
      <w:r w:rsidRPr="00946448">
        <w:rPr>
          <w:i/>
          <w:color w:val="E36C0A" w:themeColor="accent6" w:themeShade="BF"/>
        </w:rPr>
        <w:t>.0</w:t>
      </w:r>
      <w:r>
        <w:rPr>
          <w:i/>
          <w:color w:val="E36C0A" w:themeColor="accent6" w:themeShade="BF"/>
        </w:rPr>
        <w:t>8</w:t>
      </w:r>
      <w:r w:rsidRPr="00946448">
        <w:rPr>
          <w:i/>
          <w:color w:val="E36C0A" w:themeColor="accent6" w:themeShade="BF"/>
        </w:rPr>
        <w:t>.2025).</w:t>
      </w:r>
    </w:p>
    <w:p w:rsidR="004A0243" w:rsidRPr="004A0243" w:rsidRDefault="004A0243" w:rsidP="004A0243">
      <w:pPr>
        <w:pStyle w:val="a3"/>
        <w:rPr>
          <w:color w:val="0070C0"/>
        </w:rPr>
      </w:pPr>
    </w:p>
    <w:p w:rsidR="004A0243" w:rsidRDefault="004A0243" w:rsidP="004E3DB0">
      <w:pPr>
        <w:pStyle w:val="a3"/>
        <w:rPr>
          <w:color w:val="000000" w:themeColor="text1"/>
        </w:rPr>
      </w:pPr>
    </w:p>
    <w:p w:rsidR="00C41318" w:rsidRDefault="000B2E56" w:rsidP="00C41318">
      <w:pPr>
        <w:jc w:val="both"/>
        <w:rPr>
          <w:sz w:val="28"/>
          <w:szCs w:val="28"/>
        </w:rPr>
      </w:pPr>
      <w:proofErr w:type="gramStart"/>
      <w:r>
        <w:rPr>
          <w:sz w:val="28"/>
          <w:szCs w:val="28"/>
        </w:rPr>
        <w:t>Исполняющ</w:t>
      </w:r>
      <w:r w:rsidR="00D61C65">
        <w:rPr>
          <w:sz w:val="28"/>
          <w:szCs w:val="28"/>
        </w:rPr>
        <w:t>ий</w:t>
      </w:r>
      <w:proofErr w:type="gramEnd"/>
      <w:r>
        <w:rPr>
          <w:sz w:val="28"/>
          <w:szCs w:val="28"/>
        </w:rPr>
        <w:t xml:space="preserve"> обязанности</w:t>
      </w:r>
    </w:p>
    <w:p w:rsidR="00C41318" w:rsidRDefault="00C41318" w:rsidP="00C41318">
      <w:pPr>
        <w:jc w:val="both"/>
        <w:rPr>
          <w:sz w:val="28"/>
          <w:szCs w:val="28"/>
        </w:rPr>
      </w:pPr>
      <w:r>
        <w:rPr>
          <w:sz w:val="28"/>
          <w:szCs w:val="28"/>
        </w:rPr>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C444C" w:rsidRPr="00AD2AFD" w:rsidRDefault="004C444C" w:rsidP="004C444C">
      <w:pPr>
        <w:jc w:val="both"/>
        <w:rPr>
          <w:sz w:val="28"/>
          <w:szCs w:val="28"/>
        </w:rPr>
      </w:pPr>
      <w:bookmarkStart w:id="1" w:name="_GoBack"/>
      <w:bookmarkEnd w:id="1"/>
      <w:r w:rsidRPr="00AD2AFD">
        <w:rPr>
          <w:sz w:val="28"/>
          <w:szCs w:val="28"/>
        </w:rPr>
        <w:lastRenderedPageBreak/>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90D" w:rsidRDefault="0071590D">
      <w:r>
        <w:separator/>
      </w:r>
    </w:p>
  </w:endnote>
  <w:endnote w:type="continuationSeparator" w:id="0">
    <w:p w:rsidR="0071590D" w:rsidRDefault="00715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90D" w:rsidRDefault="0071590D">
      <w:r>
        <w:separator/>
      </w:r>
    </w:p>
  </w:footnote>
  <w:footnote w:type="continuationSeparator" w:id="0">
    <w:p w:rsidR="0071590D" w:rsidRDefault="00715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946448">
          <w:rPr>
            <w:noProof/>
          </w:rPr>
          <w:t>25</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093A6FB6"/>
    <w:lvl w:ilvl="0" w:tplc="254E967A">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4576"/>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5A55"/>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6DFE"/>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590D"/>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2F95"/>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448"/>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3AD1"/>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58C5"/>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0731"/>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2B81"/>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61CDD232-3A43-4742-ADFD-21EE94E39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9834</Words>
  <Characters>56058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7</cp:revision>
  <cp:lastPrinted>2025-02-03T01:48:00Z</cp:lastPrinted>
  <dcterms:created xsi:type="dcterms:W3CDTF">2025-04-23T05:26:00Z</dcterms:created>
  <dcterms:modified xsi:type="dcterms:W3CDTF">2025-08-07T05:18:00Z</dcterms:modified>
</cp:coreProperties>
</file>